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9" w:history="1">
        <w:r>
          <w:rPr>
            <w:rFonts w:ascii="Arial" w:hAnsi="Arial" w:eastAsia="Arial" w:cs="Arial"/>
            <w:color w:val="155CAA"/>
            <w:u w:val="single"/>
          </w:rPr>
          <w:t xml:space="preserve">1 Lbr VNG, 25-037, Wet gegevensverwerking persoonsgerichte aanpak radicalisering en terroristische activiteiten (Wet PARTA)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9"/>
      <w:r w:rsidRPr="00A448AC">
        <w:rPr>
          <w:rFonts w:ascii="Arial" w:hAnsi="Arial" w:cs="Arial"/>
          <w:b/>
          <w:bCs/>
          <w:color w:val="303F4C"/>
          <w:lang w:val="en-US"/>
        </w:rPr>
        <w:t>Lbr VNG, 25-037, Wet gegevensverwerking persoonsgerichte aanpak radicalisering en terroristische activiteiten (Wet PARTA)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25-037, Wet gegevensverwerking persoonsgerichte aanpak radicalisering en terroristische activiteiten (Wet PARTA),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37-Wet-gegevensverwerking-persoonsgerichte-aanpak-radicalisering-en-terroristische-activiteiten-Wet-PARTA-202507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