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57" w:history="1">
        <w:r>
          <w:rPr>
            <w:rFonts w:ascii="Arial" w:hAnsi="Arial" w:eastAsia="Arial" w:cs="Arial"/>
            <w:color w:val="155CAA"/>
            <w:u w:val="single"/>
          </w:rPr>
          <w:t xml:space="preserve">1 Lbr VNG, 25-030, LOGA 25-02, Salarisbrief Cao Gemeenten 2025-2027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57"/>
      <w:r w:rsidRPr="00A448AC">
        <w:rPr>
          <w:rFonts w:ascii="Arial" w:hAnsi="Arial" w:cs="Arial"/>
          <w:b/>
          <w:bCs/>
          <w:color w:val="303F4C"/>
          <w:lang w:val="en-US"/>
        </w:rPr>
        <w:t>Lbr VNG, 25-030, LOGA 25-02, Salarisbrief Cao Gemeenten 2025-2027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 17:45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25-030, LOGA 25-02, Salarisbrief Cao Gemeenten 2025-2027,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30-LOGA-25-02-Salarisbrief-Cao-Gemeenten-2025-2027-202506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