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55" w:history="1">
        <w:r>
          <w:rPr>
            <w:rFonts w:ascii="Arial" w:hAnsi="Arial" w:eastAsia="Arial" w:cs="Arial"/>
            <w:color w:val="155CAA"/>
            <w:u w:val="single"/>
          </w:rPr>
          <w:t xml:space="preserve">1 Lbr VNG, 25-029, Geen andere kandidaten voor vacatures vng bestuur en commissies en bezetting bestuur en commissies juni 2025-september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55"/>
      <w:r w:rsidRPr="00A448AC">
        <w:rPr>
          <w:rFonts w:ascii="Arial" w:hAnsi="Arial" w:cs="Arial"/>
          <w:b/>
          <w:bCs/>
          <w:color w:val="303F4C"/>
          <w:lang w:val="en-US"/>
        </w:rPr>
        <w:t>Lbr VNG, 25-029, Geen andere kandidaten voor vacatures vng bestuur en commissies en bezetting bestuur en commissies juni 2025-september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 17:38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25-029, Geen andere kandidaten voor vacatures vng bestuur en commissies en bezetting bestuur en commissies juni 2025-september 2026,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29-Geen-andere-kandidaten-voor-vacatures-vng-bestuur-en-commissies-en-bezetting-bestuur-en-commissies-juni-2025-september-2026-202506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