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57" w:history="1">
        <w:r>
          <w:rPr>
            <w:rFonts w:ascii="Arial" w:hAnsi="Arial" w:eastAsia="Arial" w:cs="Arial"/>
            <w:color w:val="155CAA"/>
            <w:u w:val="single"/>
          </w:rPr>
          <w:t xml:space="preserve">1 Lbr VNG, 25-017, Gevolgen cyberbeveiligingswet voor gemeenten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57"/>
      <w:r w:rsidRPr="00A448AC">
        <w:rPr>
          <w:rFonts w:ascii="Arial" w:hAnsi="Arial" w:cs="Arial"/>
          <w:b/>
          <w:bCs/>
          <w:color w:val="303F4C"/>
          <w:lang w:val="en-US"/>
        </w:rPr>
        <w:t>Lbr VNG, 25-017, Gevolgen cyberbeveiligingswet voor gemeenten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 17:05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25-017, Gevolgen cyberbeveiligingswet voor gemeenten,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Lbr-VNG-25-017-Gevolgen-cyberbeveiligingswet-voor-gemeenten-202503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