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57" text:style-name="Internet_20_link" text:visited-style-name="Visited_20_Internet_20_Link">
              <text:span text:style-name="ListLabel_20_28">
                <text:span text:style-name="T8">1 Lbr VNG, 25-017, Gevolgen cyberbeveiligingswet voor gemeenten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57"/>
        Lbr VNG, 25-017, Gevolgen cyberbeveiligingswet voor gemeenten
        <text:bookmark-end text:name="437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27-03-2025 17:05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25-017, Gevolgen cyberbeveiligingswet voor gemeenten,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84,74 KB</text:p>
          </table:table-cell>
          <table:table-cell table:style-name="Table4.A2" office:value-type="string">
            <text:p text:style-name="P33">
              <text:a xlink:type="simple" xlink:href="https://ris.dalfsen.nl//Raadsinformatie/Lbr-VNG-25-017-Gevolgen-cyberbeveiligingswet-voor-gemeenten-202503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7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