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741" w:history="1">
        <w:r>
          <w:rPr>
            <w:rFonts w:ascii="Arial" w:hAnsi="Arial" w:eastAsia="Arial" w:cs="Arial"/>
            <w:color w:val="155CAA"/>
            <w:u w:val="single"/>
          </w:rPr>
          <w:t xml:space="preserve">1 Lbr VNG, 25-014, Werkkostenregeling, politieke ambtsdragers en werknemers-advies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741"/>
      <w:r w:rsidRPr="00A448AC">
        <w:rPr>
          <w:rFonts w:ascii="Arial" w:hAnsi="Arial" w:cs="Arial"/>
          <w:b/>
          <w:bCs/>
          <w:color w:val="303F4C"/>
          <w:lang w:val="en-US"/>
        </w:rPr>
        <w:t>Lbr VNG, 25-014, Werkkostenregeling, politieke ambtsdragers en werknemers-advies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 13:31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25-014, Werkkostenregeling, politieke ambtsdragers en werknemers-advies, 20250318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Lbr-VNG-25-014-Werkkostenregeling-politieke-ambtsdragers-en-werknemers-advies-202503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