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41" text:style-name="Internet_20_link" text:visited-style-name="Visited_20_Internet_20_Link">
              <text:span text:style-name="ListLabel_20_28">
                <text:span text:style-name="T8">1 Lbr VNG, 25-014, Werkkostenregeling, politieke ambtsdragers en werknemers-advies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41"/>
        Lbr VNG, 25-014, Werkkostenregeling, politieke ambtsdragers en werknemers-advies
        <text:bookmark-end text:name="437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18-03-2025 13:31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25-014, Werkkostenregeling, politieke ambtsdragers en werknemers-advies, 20250318
              <text:span text:style-name="T3"/>
            </text:p>
            <text:p text:style-name="P7"/>
          </table:table-cell>
          <table:table-cell table:style-name="Table4.A2" office:value-type="string">
            <text:p text:style-name="P8">18-03-2025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5,23 MB</text:p>
          </table:table-cell>
          <table:table-cell table:style-name="Table4.A2" office:value-type="string">
            <text:p text:style-name="P33">
              <text:a xlink:type="simple" xlink:href="https://ris.dalfsen.nl//Raadsinformatie/Lbr-VNG-25-014-Werkkostenregeling-politieke-ambtsdragers-en-werknemers-advies-202503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513" meta:non-whitespace-character-count="4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