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22" w:history="1">
        <w:r>
          <w:rPr>
            <w:rFonts w:ascii="Arial" w:hAnsi="Arial" w:eastAsia="Arial" w:cs="Arial"/>
            <w:color w:val="155CAA"/>
            <w:u w:val="single"/>
          </w:rPr>
          <w:t xml:space="preserve">1 Lbr VNG, 25-012, Model subsidieregeling lokale aanpak isolatie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22"/>
      <w:r w:rsidRPr="00A448AC">
        <w:rPr>
          <w:rFonts w:ascii="Arial" w:hAnsi="Arial" w:cs="Arial"/>
          <w:b/>
          <w:bCs/>
          <w:color w:val="303F4C"/>
          <w:lang w:val="en-US"/>
        </w:rPr>
        <w:t>Lbr VNG, 25-012, Model subsidieregeling lokale aanpak isolatie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17:44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25-012, Model subsidieregeling lokale aanpak isolatie, 20250225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12-Model-subsidieregeling-lokale-aanpak-isolatie-202502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