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678" w:history="1">
        <w:r>
          <w:rPr>
            <w:rFonts w:ascii="Arial" w:hAnsi="Arial" w:eastAsia="Arial" w:cs="Arial"/>
            <w:color w:val="155CAA"/>
            <w:u w:val="single"/>
          </w:rPr>
          <w:t xml:space="preserve">1 Lbr VNG, 25-001, Extra vacatureronde VNG-bestuur en commissies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678"/>
      <w:r w:rsidRPr="00A448AC">
        <w:rPr>
          <w:rFonts w:ascii="Arial" w:hAnsi="Arial" w:cs="Arial"/>
          <w:b/>
          <w:bCs/>
          <w:color w:val="303F4C"/>
          <w:lang w:val="en-US"/>
        </w:rPr>
        <w:t>Lbr VNG, 25-001, Extra vacatureronde VNG-bestuur en commissies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 17:16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25-001, Extra vacatureronde VNG-bestuur en commissies, 20250109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5-001-Extra-vacatureronde-VNG-bestuur-en-commissies-202501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