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07" text:style-name="Internet_20_link" text:visited-style-name="Visited_20_Internet_20_Link">
              <text:span text:style-name="ListLabel_20_28">
                <text:span text:style-name="T8">1 Lbr VNG, 24-039, VNG model algemene inkoopvoorwaarden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07"/>
        Lbr VNG, 24-039, VNG model algemene inkoopvoorwaarden
        <text:bookmark-end text:name="436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10-10-2024 15:27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24-039, VNG model algemene inkoopvoorwaarden, 20241010
              <text:span text:style-name="T3"/>
            </text:p>
            <text:p text:style-name="P7"/>
          </table:table-cell>
          <table:table-cell table:style-name="Table4.A2" office:value-type="string">
            <text:p text:style-name="P8">10-10-2024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18,39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39-VNG-model-algemene-inkoopvoorwaarden-202410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3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