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16" w:history="1">
        <w:r>
          <w:rPr>
            <w:rFonts w:ascii="Arial" w:hAnsi="Arial" w:eastAsia="Arial" w:cs="Arial"/>
            <w:color w:val="155CAA"/>
            <w:u w:val="single"/>
          </w:rPr>
          <w:t xml:space="preserve">1 Lbr VNG, 24-007, Update VNG-inzet kabinetsformatie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16"/>
      <w:r w:rsidRPr="00A448AC">
        <w:rPr>
          <w:rFonts w:ascii="Arial" w:hAnsi="Arial" w:cs="Arial"/>
          <w:b/>
          <w:bCs/>
          <w:color w:val="303F4C"/>
          <w:lang w:val="en-US"/>
        </w:rPr>
        <w:t>Lbr VNG, 24-007, Update VNG-inzet kabinetsformatie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24-007, Update VNG-inzet kabinetsformatie, 20240320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4-007-Update-VNG-inzet-kabinetsformatie-202403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