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34" w:history="1">
        <w:r>
          <w:rPr>
            <w:rFonts w:ascii="Arial" w:hAnsi="Arial" w:eastAsia="Arial" w:cs="Arial"/>
            <w:color w:val="155CAA"/>
            <w:u w:val="single"/>
          </w:rPr>
          <w:t xml:space="preserve">1 Lbr VNG, 23-015, Voorbereiding ALV en Verenigingsstrategie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34"/>
      <w:r w:rsidRPr="00A448AC">
        <w:rPr>
          <w:rFonts w:ascii="Arial" w:hAnsi="Arial" w:cs="Arial"/>
          <w:b/>
          <w:bCs/>
          <w:color w:val="303F4C"/>
          <w:lang w:val="en-US"/>
        </w:rPr>
        <w:t>Lbr VNG, 23-015, Voorbereiding ALV en Verenigingsstrategie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 17:05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23-015, Voorbereiding ALV en Verenigingsstrategie, 20230501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3-015-Voorbereiding-ALV-en-Verenigingsstrategie-202305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