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10" w:history="1">
        <w:r>
          <w:rPr>
            <w:rFonts w:ascii="Arial" w:hAnsi="Arial" w:eastAsia="Arial" w:cs="Arial"/>
            <w:color w:val="155CAA"/>
            <w:u w:val="single"/>
          </w:rPr>
          <w:t xml:space="preserve">1 Lbr VNG, 22-062, Moties en preadviezen Najaars ALV 2 december 2022, zaaknr 675715, 20221129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10"/>
      <w:r w:rsidRPr="00A448AC">
        <w:rPr>
          <w:rFonts w:ascii="Arial" w:hAnsi="Arial" w:cs="Arial"/>
          <w:b/>
          <w:bCs/>
          <w:color w:val="303F4C"/>
          <w:lang w:val="en-US"/>
        </w:rPr>
        <w:t>Lbr VNG, 22-062, Moties en preadviezen Najaars ALV 2 december 2022, zaaknr 675715, 20221129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22-062, Moties en preadviezen Najaars ALV 2 december 2022, zaaknr 675715, 20221129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62-Moties-en-preadviezen-Najaars-ALV-2-december-2022-zaaknr-675715-2022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