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6" w:history="1">
        <w:r>
          <w:rPr>
            <w:rFonts w:ascii="Arial" w:hAnsi="Arial" w:eastAsia="Arial" w:cs="Arial"/>
            <w:color w:val="155CAA"/>
            <w:u w:val="single"/>
          </w:rPr>
          <w:t xml:space="preserve">1 Lbr VNG, 22-007, Nadere duiding financiële gevolgen coalitieakkoord, zaaknr 651763, 20220208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6"/>
      <w:r w:rsidRPr="00A448AC">
        <w:rPr>
          <w:rFonts w:ascii="Arial" w:hAnsi="Arial" w:cs="Arial"/>
          <w:b/>
          <w:bCs/>
          <w:color w:val="303F4C"/>
          <w:lang w:val="en-US"/>
        </w:rPr>
        <w:t>Lbr VNG, 22-007, Nadere duiding financiële gevolgen coalitieakkoord, zaaknr 651763, 20220208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22-007, Nadere duiding financiele gevolgen coalitieakkoord, zaaknr 651763, 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07-Nadere-duiding-financiele-gevolgen-coalitieakkoord-zaaknr-651763-202202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