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4" w:history="1">
        <w:r>
          <w:rPr>
            <w:rFonts w:ascii="Arial" w:hAnsi="Arial" w:eastAsia="Arial" w:cs="Arial"/>
            <w:color w:val="155CAA"/>
            <w:u w:val="single"/>
          </w:rPr>
          <w:t xml:space="preserve">1 Lbr VNG 21-079, Verplaatsing uitgestelde Bestuurdersdag en ALV naar 11 februari 2022, zaaknr 644923, 20211123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4"/>
      <w:r w:rsidRPr="00A448AC">
        <w:rPr>
          <w:rFonts w:ascii="Arial" w:hAnsi="Arial" w:cs="Arial"/>
          <w:b/>
          <w:bCs/>
          <w:color w:val="303F4C"/>
          <w:lang w:val="en-US"/>
        </w:rPr>
        <w:t>Lbr VNG 21-079, Verplaatsing uitgestelde Bestuurdersdag en ALV naar 11 februari 2022, zaaknr 644923, 20211123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21-079, Verplaatsing uitgestelde Bestuurdersdag en ALV naar 11 februari 2022, zaaknr 644923, 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79-Verplaatsing-uitgestelde-Bestuurdersdag-en-ALV-naar-11-februari-2022-zaaknr-644923-202111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