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77" w:history="1">
        <w:r>
          <w:rPr>
            <w:rFonts w:ascii="Arial" w:hAnsi="Arial" w:eastAsia="Arial" w:cs="Arial"/>
            <w:color w:val="155CAA"/>
            <w:u w:val="single"/>
          </w:rPr>
          <w:t xml:space="preserve">1 Lbr VNG, 21-069, Reactie op de Rijksbegroting 2022, zaaknr 641699, 20210930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77"/>
      <w:r w:rsidRPr="00A448AC">
        <w:rPr>
          <w:rFonts w:ascii="Arial" w:hAnsi="Arial" w:cs="Arial"/>
          <w:b/>
          <w:bCs/>
          <w:color w:val="303F4C"/>
          <w:lang w:val="en-US"/>
        </w:rPr>
        <w:t>Lbr VNG, 21-069, Reactie op de Rijksbegroting 2022, zaaknr 641699, 20210930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21-069, Reactie op de Rijksbegroting 2022, zaaknr 641699, 20210930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69-Reactie-op-de-Rijksbegroting-2022-zaaknr-641699-202109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