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07" w:history="1">
        <w:r>
          <w:rPr>
            <w:rFonts w:ascii="Arial" w:hAnsi="Arial" w:eastAsia="Arial" w:cs="Arial"/>
            <w:color w:val="155CAA"/>
            <w:u w:val="single"/>
          </w:rPr>
          <w:t xml:space="preserve">1 Lbr VNG 21-053, Stand van zaken Omgevingswet, zaaknr 635548, 20210621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07"/>
      <w:r w:rsidRPr="00A448AC">
        <w:rPr>
          <w:rFonts w:ascii="Arial" w:hAnsi="Arial" w:cs="Arial"/>
          <w:b/>
          <w:bCs/>
          <w:color w:val="303F4C"/>
          <w:lang w:val="en-US"/>
        </w:rPr>
        <w:t>Lbr VNG 21-053, Stand van zaken Omgevingswet, zaaknr 635548, 20210621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15:15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21-053, Stand-van-zaken-omgevingswet, zaaknr 635548, 20210621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53-Stand-van-zaken-omgevingswet-zaaknr-635548-202106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