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7" w:history="1">
        <w:r>
          <w:rPr>
            <w:rFonts w:ascii="Arial" w:hAnsi="Arial" w:eastAsia="Arial" w:cs="Arial"/>
            <w:color w:val="155CAA"/>
            <w:u w:val="single"/>
          </w:rPr>
          <w:t xml:space="preserve">1 Lbr VNG 21-045, Geen andere kandidaten voor vacatures in VNG bestuur en commissies, zaaknr 634707, 20210603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7"/>
      <w:r w:rsidRPr="00A448AC">
        <w:rPr>
          <w:rFonts w:ascii="Arial" w:hAnsi="Arial" w:cs="Arial"/>
          <w:b/>
          <w:bCs/>
          <w:color w:val="303F4C"/>
          <w:lang w:val="en-US"/>
        </w:rPr>
        <w:t>Lbr VNG 21-045, Geen andere kandidaten voor vacatures in VNG bestuur en commissies, zaaknr 634707, 20210603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21-045, Geen-andere-kandidaten-voor-vacatures-in-VNG bestuur-en-commissies, zaaknr 634707, 20210603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1-045-Geen-andere-kandidaten-voor-vacatures-in-VNG-bestuur-en-commissies-zaaknr-634707-2021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