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12" w:history="1">
        <w:r>
          <w:rPr>
            <w:rFonts w:ascii="Arial" w:hAnsi="Arial" w:eastAsia="Arial" w:cs="Arial"/>
            <w:color w:val="155CAA"/>
            <w:u w:val="single"/>
          </w:rPr>
          <w:t xml:space="preserve">1 Lbr VNG 21-001, Opening mogelijkh stellen tegenkandidaten vacatures VNG-bestuur en commissies, zaaknr 628562, 20210107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12"/>
      <w:r w:rsidRPr="00A448AC">
        <w:rPr>
          <w:rFonts w:ascii="Arial" w:hAnsi="Arial" w:cs="Arial"/>
          <w:b/>
          <w:bCs/>
          <w:color w:val="303F4C"/>
          <w:lang w:val="en-US"/>
        </w:rPr>
        <w:t>Lbr VNG 21-001, Opening mogelijkh stellen tegenkandidaten vacatures VNG-bestuur en commissies, zaaknr 628562, 20210107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 10:18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21-001, Opening mogelijkh stellen tegenkandidaten vacatures VNG-bestuur en commissies, zaaknr 628562, 20210107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1-001-Opening-mogelijkh-stellen-tegenkandidaten-vacatures-VNG-bestuur-en-commissies-zaaknr-628562-202101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