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96" w:history="1">
        <w:r>
          <w:rPr>
            <w:rFonts w:ascii="Arial" w:hAnsi="Arial" w:eastAsia="Arial" w:cs="Arial"/>
            <w:color w:val="155CAA"/>
            <w:u w:val="single"/>
          </w:rPr>
          <w:t xml:space="preserve">1 Lbr VNG 20-072, Gevolgen aanscherping corona maatregelen voor gemeenten, zaaknr 624827, 20201008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96"/>
      <w:r w:rsidRPr="00A448AC">
        <w:rPr>
          <w:rFonts w:ascii="Arial" w:hAnsi="Arial" w:cs="Arial"/>
          <w:b/>
          <w:bCs/>
          <w:color w:val="303F4C"/>
          <w:lang w:val="en-US"/>
        </w:rPr>
        <w:t>Lbr VNG 20-072, Gevolgen aanscherping corona maatregelen voor gemeenten, zaaknr 624827, 20201008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20-072, Gevolgen aanscherping corona maatregelen voor gemeenten, zaaknr 624827, 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72-Gevolgen-aanscherping-corona-maatregelen-voor-gemeenten-zaaknr-624827-20201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