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26" w:history="1">
        <w:r>
          <w:rPr>
            <w:rFonts w:ascii="Arial" w:hAnsi="Arial" w:eastAsia="Arial" w:cs="Arial"/>
            <w:color w:val="155CAA"/>
            <w:u w:val="single"/>
          </w:rPr>
          <w:t xml:space="preserve">1 Lbr VNG 20-049, Stand van zaken Omgevingswet - juli 2020, zaaknr 621171, 20200721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26"/>
      <w:r w:rsidRPr="00A448AC">
        <w:rPr>
          <w:rFonts w:ascii="Arial" w:hAnsi="Arial" w:cs="Arial"/>
          <w:b/>
          <w:bCs/>
          <w:color w:val="303F4C"/>
          <w:lang w:val="en-US"/>
        </w:rPr>
        <w:t>Lbr VNG 20-049, Stand van zaken Omgevingswet - juli 2020, zaaknr 621171, 20200721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20-049, Stand van zaken Omgevingswet - juli 2020, zaaknr 621171,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49-Stand-van-zaken-Omgevingswet-juli-2020-zaaknr-621171-202007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