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2" w:history="1">
        <w:r>
          <w:rPr>
            <w:rFonts w:ascii="Arial" w:hAnsi="Arial" w:eastAsia="Arial" w:cs="Arial"/>
            <w:color w:val="155CAA"/>
            <w:u w:val="single"/>
          </w:rPr>
          <w:t xml:space="preserve">1 Lbr VNG 20-027, Verlenging activiteiten Visitatiecie Financiele Beheersbaarheid Sociaal Domein, zaaknr 619650, 20200608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2"/>
      <w:r w:rsidRPr="00A448AC">
        <w:rPr>
          <w:rFonts w:ascii="Arial" w:hAnsi="Arial" w:cs="Arial"/>
          <w:b/>
          <w:bCs/>
          <w:color w:val="303F4C"/>
          <w:lang w:val="en-US"/>
        </w:rPr>
        <w:t>Lbr VNG 20-027, Verlenging activiteiten Visitatiecie Financiele Beheersbaarheid Sociaal Domein, zaaknr 619650, 20200608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20-027, Verlenging activiteiten Visitatiecie Financiele Beheersbaarheid Sociaal Domein, zaaknr 619650, 20200608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27-Verlenging-activiteiten-Visitatiecie-Financiele-Beheersbaarheid-Sociaal-Domein-zaaknr-619650-202006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