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94" w:history="1">
        <w:r>
          <w:rPr>
            <w:rFonts w:ascii="Arial" w:hAnsi="Arial" w:eastAsia="Arial" w:cs="Arial"/>
            <w:color w:val="155CAA"/>
            <w:u w:val="single"/>
          </w:rPr>
          <w:t xml:space="preserve">1 Lbr VNG 19-105, Nieuwe VNG Model Referendumverordening, zaaknr 611944, 20191212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94"/>
      <w:r w:rsidRPr="00A448AC">
        <w:rPr>
          <w:rFonts w:ascii="Arial" w:hAnsi="Arial" w:cs="Arial"/>
          <w:b/>
          <w:bCs/>
          <w:color w:val="303F4C"/>
          <w:lang w:val="en-US"/>
        </w:rPr>
        <w:t>Lbr VNG 19-105, Nieuwe VNG Model Referendumverordening, zaaknr 611944, 20191212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 11:36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19-105, Nieuwe VNG Model Referendumverordening, zaaknr 611944, 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9-105-Nieuwe-VNG-Model-Referendumverordening-zaaknr-611944-201912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