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9" w:history="1">
        <w:r>
          <w:rPr>
            <w:rFonts w:ascii="Arial" w:hAnsi="Arial" w:eastAsia="Arial" w:cs="Arial"/>
            <w:color w:val="155CAA"/>
            <w:u w:val="single"/>
          </w:rPr>
          <w:t xml:space="preserve">1 Lbr VNG 19-102, VNG Publicatie Handhaving door en voor gemeenten, zaaknr 611406, 20191202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9"/>
      <w:r w:rsidRPr="00A448AC">
        <w:rPr>
          <w:rFonts w:ascii="Arial" w:hAnsi="Arial" w:cs="Arial"/>
          <w:b/>
          <w:bCs/>
          <w:color w:val="303F4C"/>
          <w:lang w:val="en-US"/>
        </w:rPr>
        <w:t>Lbr VNG 19-102, VNG Publicatie Handhaving door en voor gemeenten, zaaknr 611406, 20191202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19-102, VNG Publicatie Handhaving door en voor gemeenten, zaaknr 611406, 20191202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102-VNG-Publicatie-Handhaving-door-en-voor-gemeenten-zaaknr-611406-20191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