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57" w:history="1">
        <w:r>
          <w:rPr>
            <w:rFonts w:ascii="Arial" w:hAnsi="Arial" w:eastAsia="Arial" w:cs="Arial"/>
            <w:color w:val="155CAA"/>
            <w:u w:val="single"/>
          </w:rPr>
          <w:t xml:space="preserve">1 Lbr VNG 19-073, LOGA FLO-overgangsrecht, nadere aanpassing levensloopregeling, zaaknr 608226, 20191001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57"/>
      <w:r w:rsidRPr="00A448AC">
        <w:rPr>
          <w:rFonts w:ascii="Arial" w:hAnsi="Arial" w:cs="Arial"/>
          <w:b/>
          <w:bCs/>
          <w:color w:val="303F4C"/>
          <w:lang w:val="en-US"/>
        </w:rPr>
        <w:t>Lbr VNG 19-073, LOGA FLO-overgangsrecht, nadere aanpassing levensloopregeling, zaaknr 608226, 20191001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19-073, LOGA FLO-overgangsrecht, nadere aanpassing levensloopregeling, zaaknr 608226, 20191001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9-073-LOGA-FLO-overgangsrecht-nadere-aanpassing-levensloopregeling-zaaknr-608226-201910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