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44" w:history="1">
        <w:r>
          <w:rPr>
            <w:rFonts w:ascii="Arial" w:hAnsi="Arial" w:eastAsia="Arial" w:cs="Arial"/>
            <w:color w:val="155CAA"/>
            <w:u w:val="single"/>
          </w:rPr>
          <w:t xml:space="preserve">1 Lbr VNG 19-066, Nieuwe afspraken Raamovereenkomst Verpakkingen 2013-2022, zaaknr 607437, 20190909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44"/>
      <w:r w:rsidRPr="00A448AC">
        <w:rPr>
          <w:rFonts w:ascii="Arial" w:hAnsi="Arial" w:cs="Arial"/>
          <w:b/>
          <w:bCs/>
          <w:color w:val="303F4C"/>
          <w:lang w:val="en-US"/>
        </w:rPr>
        <w:t>Lbr VNG 19-066, Nieuwe afspraken Raamovereenkomst Verpakkingen 2013-2022, zaaknr 607437, 20190909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 16:13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19-066, Nieuwe afspraken Raamovereenkomst Verpakkingen 2013-2022, zaaknr 607437, 20190909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629,14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Lbr-VNG-19-066-Nieuwe-afspraken-Raamovereenkomst-Verpakkingen-2013-2022-zaaknr-607437-2019090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