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6" w:history="1">
        <w:r>
          <w:rPr>
            <w:rFonts w:ascii="Arial" w:hAnsi="Arial" w:eastAsia="Arial" w:cs="Arial"/>
            <w:color w:val="155CAA"/>
            <w:u w:val="single"/>
          </w:rPr>
          <w:t xml:space="preserve">1 Lbr VNG 19-057, Doordecentralisatie en nieuw verdeelmodel MO, BW en BG, zaaknr 605120, 20190718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6"/>
      <w:r w:rsidRPr="00A448AC">
        <w:rPr>
          <w:rFonts w:ascii="Arial" w:hAnsi="Arial" w:cs="Arial"/>
          <w:b/>
          <w:bCs/>
          <w:color w:val="303F4C"/>
          <w:lang w:val="en-US"/>
        </w:rPr>
        <w:t>Lbr VNG 19-057, Doordecentralisatie en nieuw verdeelmodel MO, BW en BG, zaaknr 605120,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19-057, Doordecentralisatie en nieuw verdeelmodel MO, BW en BG, zaaknr 605120,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57-Doordecentralisatie-en-nieuw-verdeelmodel-MO-BW-en-BG-zaaknr-605120-2019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