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19" w:history="1">
        <w:r>
          <w:rPr>
            <w:rFonts w:ascii="Arial" w:hAnsi="Arial" w:eastAsia="Arial" w:cs="Arial"/>
            <w:color w:val="155CAA"/>
            <w:u w:val="single"/>
          </w:rPr>
          <w:t xml:space="preserve">1 Lbr VNG 19-051, Uitkomst ledenraadpleging meerjarenbeleidsplan CvA, zaaknr 604717, 20190711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19"/>
      <w:r w:rsidRPr="00A448AC">
        <w:rPr>
          <w:rFonts w:ascii="Arial" w:hAnsi="Arial" w:cs="Arial"/>
          <w:b/>
          <w:bCs/>
          <w:color w:val="303F4C"/>
          <w:lang w:val="en-US"/>
        </w:rPr>
        <w:t>Lbr VNG 19-051, Uitkomst ledenraadpleging meerjarenbeleidsplan CvA, zaaknr 604717, 20190711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19-051, Uitkomst ledenraadpleging meerjarenbeleidsplan CvA, zaaknr 604717, 20190711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19-051-Uitkomst-ledenraadpleging-meerjarenbeleidsplan-CvA-zaaknr-604717-201907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