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0" w:history="1">
        <w:r>
          <w:rPr>
            <w:rFonts w:ascii="Arial" w:hAnsi="Arial" w:eastAsia="Arial" w:cs="Arial"/>
            <w:color w:val="155CAA"/>
            <w:u w:val="single"/>
          </w:rPr>
          <w:t xml:space="preserve">1 Lbr VNG, 19-039, Oprichting werkgeversvereniging gemeenschappelijke regelingen, zaaknr 602398, 20190529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0"/>
      <w:r w:rsidRPr="00A448AC">
        <w:rPr>
          <w:rFonts w:ascii="Arial" w:hAnsi="Arial" w:cs="Arial"/>
          <w:b/>
          <w:bCs/>
          <w:color w:val="303F4C"/>
          <w:lang w:val="en-US"/>
        </w:rPr>
        <w:t>Lbr VNG, 19-039, Oprichting werkgeversvereniging gemeenschappelijke regelingen, zaaknr 602398, 20190529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19-039, Oprichting werkgeversvereniging gemeenschappelijke regelingen, zaaknr 602398,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39-Oprichting-werkgeversvereniging-gemeenschappelijke-regelingen-zaaknr-602398-201905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