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0" w:history="1">
        <w:r>
          <w:rPr>
            <w:rFonts w:ascii="Arial" w:hAnsi="Arial" w:eastAsia="Arial" w:cs="Arial"/>
            <w:color w:val="155CAA"/>
            <w:u w:val="single"/>
          </w:rPr>
          <w:t xml:space="preserve">1 Lbr VNG, 19-024, Bekendmaking invulling vacatures VNG-bestuur en -commissies, zaaknr 601411, 20190502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0"/>
      <w:r w:rsidRPr="00A448AC">
        <w:rPr>
          <w:rFonts w:ascii="Arial" w:hAnsi="Arial" w:cs="Arial"/>
          <w:b/>
          <w:bCs/>
          <w:color w:val="303F4C"/>
          <w:lang w:val="en-US"/>
        </w:rPr>
        <w:t>Lbr VNG, 19-024, Bekendmaking invulling vacatures VNG-bestuur en -commissies, zaaknr 601411, 20190502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19-024, Bekendmaking invulling vacatures VNG-bestuur en -commissies, zaaknr 601411,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24-Bekendmaking-invulling-vacatures-VNG-bestuur-en-commissies-zaaknr-601411-20190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