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56" w:history="1">
        <w:r>
          <w:rPr>
            <w:rFonts w:ascii="Arial" w:hAnsi="Arial" w:eastAsia="Arial" w:cs="Arial"/>
            <w:color w:val="155CAA"/>
            <w:u w:val="single"/>
          </w:rPr>
          <w:t xml:space="preserve">1 Lbr VNG, 19-011, Wijzigingswet Open Overheid, zaaknr 598829, 20190314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56"/>
      <w:r w:rsidRPr="00A448AC">
        <w:rPr>
          <w:rFonts w:ascii="Arial" w:hAnsi="Arial" w:cs="Arial"/>
          <w:b/>
          <w:bCs/>
          <w:color w:val="303F4C"/>
          <w:lang w:val="en-US"/>
        </w:rPr>
        <w:t>Lbr VNG, 19-011, Wijzigingswet Open Overheid, zaaknr 598829, 20190314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19-011, Wijzigingswet Open Overheid, zaaknr 598829, 20190314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9-011-Wijzigingswet-Open-Overheid-zaaknr-598829-201903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