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12" w:history="1">
        <w:r>
          <w:rPr>
            <w:rFonts w:ascii="Arial" w:hAnsi="Arial" w:eastAsia="Arial" w:cs="Arial"/>
            <w:color w:val="155CAA"/>
            <w:u w:val="single"/>
          </w:rPr>
          <w:t xml:space="preserve">1 Lbr VNG, 18-076, Motie Utrechtse Heuvelrug over plastic afval, zaaknr 593603, 20181127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12"/>
      <w:r w:rsidRPr="00A448AC">
        <w:rPr>
          <w:rFonts w:ascii="Arial" w:hAnsi="Arial" w:cs="Arial"/>
          <w:b/>
          <w:bCs/>
          <w:color w:val="303F4C"/>
          <w:lang w:val="en-US"/>
        </w:rPr>
        <w:t>Lbr VNG, 18-076, Motie Utrechtse Heuvelrug over plastic afval, zaaknr 593603, 20181127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 11:21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18-076, Motie Utrechtse Heuvelrug over plastic afval, zaaknr 593603, 20181127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Lbr-VNG-18-076-Motie-Utrechtse-Heuvelrug-over-plastic-afval-zaaknr-593603-201811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