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04" text:style-name="Internet_20_link" text:visited-style-name="Visited_20_Internet_20_Link">
              <text:span text:style-name="ListLabel_20_28">
                <text:span text:style-name="T8">1 Lbr VNG, 18-069, Ontwikkelingen inzake de overeenkomst afkoop regresrecht wmo, zaaknr 592830, 20181119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04"/>
        Lbr VNG, 18-069, Ontwikkelingen inzake de overeenkomst afkoop regresrecht wmo, zaaknr 592830, 20181119
        <text:bookmark-end text:name="418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18-069, Ontwikkelingen inzake de overeenkomst afkoop regresrecht wmo, zaaknr 592830, 20181119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523,42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69-Ontwikkelingen-inzake-de-overeenkomst-afkoop-regresrecht-wmo-zaaknr-592830-201811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71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