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68" w:history="1">
        <w:r>
          <w:rPr>
            <w:rFonts w:ascii="Arial" w:hAnsi="Arial" w:eastAsia="Arial" w:cs="Arial"/>
            <w:color w:val="155CAA"/>
            <w:u w:val="single"/>
          </w:rPr>
          <w:t xml:space="preserve">1 Lbr VNG, 18-050, Wnra en volgers Cao Gemeenten, zaaknr 589659, 20180910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68"/>
      <w:r w:rsidRPr="00A448AC">
        <w:rPr>
          <w:rFonts w:ascii="Arial" w:hAnsi="Arial" w:cs="Arial"/>
          <w:b/>
          <w:bCs/>
          <w:color w:val="303F4C"/>
          <w:lang w:val="en-US"/>
        </w:rPr>
        <w:t>Lbr VNG, 18-050, Wnra en volgers Cao Gemeenten, zaaknr 589659, 20180910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01-10-2018 12:41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18-050, Wnra en volgers Cao Gemeenten, zaaknr 589659, 20180910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Lbr-VNG-18-050-Wnra-en-volgers-Cao-Gemeenten-zaaknr-589659-2018091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