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19" w:history="1">
        <w:r>
          <w:rPr>
            <w:rFonts w:ascii="Arial" w:hAnsi="Arial" w:eastAsia="Arial" w:cs="Arial"/>
            <w:color w:val="155CAA"/>
            <w:u w:val="single"/>
          </w:rPr>
          <w:t xml:space="preserve">1 Lbr VNG, 18-019, Interbestuurlijke samenwerking en financiële ruimte in de nieuwe raadsperiode, 16 mei 2018, zaaknr. 583482, 20180517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19"/>
      <w:r w:rsidRPr="00A448AC">
        <w:rPr>
          <w:rFonts w:ascii="Arial" w:hAnsi="Arial" w:cs="Arial"/>
          <w:b/>
          <w:bCs/>
          <w:color w:val="303F4C"/>
          <w:lang w:val="en-US"/>
        </w:rPr>
        <w:t>Lbr VNG, 18-019, Interbestuurlijke samenwerking en financiële ruimte in de nieuwe raadsperiode, 16 mei 2018, zaaknr. 583482, 20180517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30-07-2018 08:41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18-019, Interbestuurlijke samenwerking en financiële ruimte in de nieuwe raadsperiode, 16 mei 2018, zaaknr. 583482, 20180517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18-019-Interbestuurlijke-samenwerking-en-financiele-ruimte-in-de-nieuwe-raadsperiode-16-mei-2018-zaaknr-583482-201805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