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752" w:history="1">
        <w:r>
          <w:rPr>
            <w:rFonts w:ascii="Arial" w:hAnsi="Arial" w:eastAsia="Arial" w:cs="Arial"/>
            <w:color w:val="155CAA"/>
            <w:u w:val="single"/>
          </w:rPr>
          <w:t xml:space="preserve">1 LOGA, 18-045, Aanpassing factoren FLO overgangsrecht, zaaknr 588122, 20180730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752"/>
      <w:r w:rsidRPr="00A448AC">
        <w:rPr>
          <w:rFonts w:ascii="Arial" w:hAnsi="Arial" w:cs="Arial"/>
          <w:b/>
          <w:bCs/>
          <w:color w:val="303F4C"/>
          <w:lang w:val="en-US"/>
        </w:rPr>
        <w:t>LOGA, 18-045, Aanpassing factoren FLO overgangsrecht, zaaknr 588122, 20180730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01-10-2018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LOGA, 18-045, Aanpassing factoren FLO overgangsrecht, zaaknr 588122, 20180730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LOGA-18-045-Aanpassing-factoren-FLO-overgangsrecht-zaaknr-588122-201807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