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95" w:history="1">
        <w:r>
          <w:rPr>
            <w:rFonts w:ascii="Arial" w:hAnsi="Arial" w:eastAsia="Arial" w:cs="Arial"/>
            <w:color w:val="155CAA"/>
            <w:u w:val="single"/>
          </w:rPr>
          <w:t xml:space="preserve">1 Brf inwoner, tweet wethouder Van Leeuwen, zaaknr 643231, 20211028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95"/>
      <w:r w:rsidRPr="00A448AC">
        <w:rPr>
          <w:rFonts w:ascii="Arial" w:hAnsi="Arial" w:cs="Arial"/>
          <w:b/>
          <w:bCs/>
          <w:color w:val="303F4C"/>
          <w:lang w:val="en-US"/>
        </w:rPr>
        <w:t>Brf inwoner, tweet wethouder Van Leeuwen, zaaknr 643231, 20211028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 15:11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tweet wethouder Van Leeuwen, zaaknr 643231, 20211028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-tweet-wethouder-Van-Leeuwen-zaaknr-643231-20211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