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89" w:history="1">
        <w:r>
          <w:rPr>
            <w:rFonts w:ascii="Arial" w:hAnsi="Arial" w:eastAsia="Arial" w:cs="Arial"/>
            <w:color w:val="155CAA"/>
            <w:u w:val="single"/>
          </w:rPr>
          <w:t xml:space="preserve">1 Brf inwoner, Aannemen van de Spreidingswet is onverstandig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89"/>
      <w:r w:rsidRPr="00A448AC">
        <w:rPr>
          <w:rFonts w:ascii="Arial" w:hAnsi="Arial" w:cs="Arial"/>
          <w:b/>
          <w:bCs/>
          <w:color w:val="303F4C"/>
          <w:lang w:val="en-US"/>
        </w:rPr>
        <w:t>Brf inwoner, Aannemen van de Spreidingswet is onverstandig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Aannemen van de Spreidingswet is onverstandig, 20231205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Aannemen-van-de-Spreidingswet-is-onverstandig-202312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