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31" w:history="1">
        <w:r>
          <w:rPr>
            <w:rFonts w:ascii="Arial" w:hAnsi="Arial" w:eastAsia="Arial" w:cs="Arial"/>
            <w:color w:val="155CAA"/>
            <w:u w:val="single"/>
          </w:rPr>
          <w:t xml:space="preserve">1 Brf initiatiefnemers, Reactie principebesluit Oosterdalfsersteeg 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31"/>
      <w:r w:rsidRPr="00A448AC">
        <w:rPr>
          <w:rFonts w:ascii="Arial" w:hAnsi="Arial" w:cs="Arial"/>
          <w:b/>
          <w:bCs/>
          <w:color w:val="303F4C"/>
          <w:lang w:val="en-US"/>
        </w:rPr>
        <w:t>Brf initiatiefnemers, Reactie principebesluit Oosterdalfsersteeg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initiatiefnemers, Reactie principebesluit Oosterdalfsersteeg 1,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itiatiefnemers-Reactie-principebesluit-Oosterdalfsersteeg-1-202309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