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1" w:history="1">
        <w:r>
          <w:rPr>
            <w:rFonts w:ascii="Arial" w:hAnsi="Arial" w:eastAsia="Arial" w:cs="Arial"/>
            <w:color w:val="155CAA"/>
            <w:u w:val="single"/>
          </w:rPr>
          <w:t xml:space="preserve">1 Brf een verstoten vader, Reactie van het Samenwerkingsverband van Ouders met Jeugdzorg, zaaknr 610394, 20191107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1"/>
      <w:r w:rsidRPr="00A448AC">
        <w:rPr>
          <w:rFonts w:ascii="Arial" w:hAnsi="Arial" w:cs="Arial"/>
          <w:b/>
          <w:bCs/>
          <w:color w:val="303F4C"/>
          <w:lang w:val="en-US"/>
        </w:rPr>
        <w:t>Brf een verstoten vader, Reactie van het Samenwerkingsverband van Ouders met Jeugdzorg, zaaknr 610394, 20191107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een verstoten vader, Reactie van het Samenwerkingsverband van Ouders met Jeugdzorg, zaaknr 610394, 20191107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een-verstoten-vader-Reactie-van-het-Samenwerkingsverband-van-Ouders-met-Jeugdzorg-zaaknr-610394-20191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