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751" w:history="1">
        <w:r>
          <w:rPr>
            <w:rFonts w:ascii="Arial" w:hAnsi="Arial" w:eastAsia="Arial" w:cs="Arial"/>
            <w:color w:val="155CAA"/>
            <w:u w:val="single"/>
          </w:rPr>
          <w:t xml:space="preserve">1 Brf Veiligheidsregio IJsselland, Kadernota 2023, zaaknr 655645, 20220321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751"/>
      <w:r w:rsidRPr="00A448AC">
        <w:rPr>
          <w:rFonts w:ascii="Arial" w:hAnsi="Arial" w:cs="Arial"/>
          <w:b/>
          <w:bCs/>
          <w:color w:val="303F4C"/>
          <w:lang w:val="en-US"/>
        </w:rPr>
        <w:t>Brf Veiligheidsregio IJsselland, Kadernota 2023, zaaknr 655645, 20220321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28-04-2022 11:21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Veiligheidsregio IJsselland, zaaknr 655645, 20220321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457,55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Alertmail/Brf-Veiligheidsregio-IJsselland-zaaknr-655645-2022032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