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317" w:history="1">
        <w:r>
          <w:rPr>
            <w:rFonts w:ascii="Arial" w:hAnsi="Arial" w:eastAsia="Arial" w:cs="Arial"/>
            <w:color w:val="155CAA"/>
            <w:u w:val="single"/>
          </w:rPr>
          <w:t xml:space="preserve">1 Brf Stichting EHS, Voorgestelde nieuwe EU-verordening met gevolgen voor gemeenten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317"/>
      <w:r w:rsidRPr="00A448AC">
        <w:rPr>
          <w:rFonts w:ascii="Arial" w:hAnsi="Arial" w:cs="Arial"/>
          <w:b/>
          <w:bCs/>
          <w:color w:val="303F4C"/>
          <w:lang w:val="en-US"/>
        </w:rPr>
        <w:t>Brf Stichting EHS, Voorgestelde nieuwe EU-verordening met gevolgen voor gemeenten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 12:15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Stichting EHS, Voorgestelde nieuwe EU-verordening met gevolgen voor gemeenten, 20231221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542,90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Stichting-EHS-Voorgestelde-nieuwe-EU-verordening-met-gevolgen-voor-gemeenten-202312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