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01" w:history="1">
        <w:r>
          <w:rPr>
            <w:rFonts w:ascii="Arial" w:hAnsi="Arial" w:eastAsia="Arial" w:cs="Arial"/>
            <w:color w:val="155CAA"/>
            <w:u w:val="single"/>
          </w:rPr>
          <w:t xml:space="preserve">1 Brf, Stichting DierenLot, Cijfers m.b.t. toekenning van vergoedingen voor lokale dierenhulpverleners, 2 mei 2018, zaaknr. 582827, 20180503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01"/>
      <w:r w:rsidRPr="00A448AC">
        <w:rPr>
          <w:rFonts w:ascii="Arial" w:hAnsi="Arial" w:cs="Arial"/>
          <w:b/>
          <w:bCs/>
          <w:color w:val="303F4C"/>
          <w:lang w:val="en-US"/>
        </w:rPr>
        <w:t>Brf, Stichting DierenLot, Cijfers m.b.t. toekenning van vergoedingen voor lokale dierenhulpverleners, 2 mei 2018, zaaknr. 582827, 20180503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DierenLot, Cijfers m.b.t. toekenning van vergoedingen voor lokale dierenhulpverleners, 2 mei 2018, zaaknr. 582827,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Stichting-DierenLot-Cijfers-m-b-t-toekenning-van-vergoedingen-voor-lokale-dierenhulpverleners-2-mei-2018-zaaknr-582827-201805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