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5" w:history="1">
        <w:r>
          <w:rPr>
            <w:rFonts w:ascii="Arial" w:hAnsi="Arial" w:eastAsia="Arial" w:cs="Arial"/>
            <w:color w:val="155CAA"/>
            <w:u w:val="single"/>
          </w:rPr>
          <w:t xml:space="preserve">1 Brf St NL Haarden- en kachelbranche, Rapport basis voor beleid houtrookoverlast en luchtkwaliteit, zaaknr 602023, 20190516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5"/>
      <w:r w:rsidRPr="00A448AC">
        <w:rPr>
          <w:rFonts w:ascii="Arial" w:hAnsi="Arial" w:cs="Arial"/>
          <w:b/>
          <w:bCs/>
          <w:color w:val="303F4C"/>
          <w:lang w:val="en-US"/>
        </w:rPr>
        <w:t>Brf St NL Haarden- en kachelbranche, Rapport basis voor beleid houtrookoverlast en luchtkwaliteit, zaaknr 602023, 20190516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 NL Haarden- en kachelbranche, Rapport basis voor beleid houtrookoverlast en luchtkwaliteit, zaaknr 602023, 20190516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St-NL-Haarden-en-kachelbranche-Rapport-basis-voor-beleid-houtrookoverlast-en-luchtkwaliteit-zaaknr-602023-201905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