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99" text:style-name="Internet_20_link" text:visited-style-name="Visited_20_Internet_20_Link">
              <text:span text:style-name="ListLabel_20_28">
                <text:span text:style-name="T8">1 Brf, St Letstelschade en gerechtigheid, Dwaling WMO regres convenant, zaaknr 592716, 20181108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99"/>
        Brf, St Letstelschade en gerechtigheid, Dwaling WMO regres convenant, zaaknr 592716, 20181108
        <text:bookmark-end text:name="417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 Letstelschade en gerechtigheid, Dwaling WMO regres convenant, zaaknr 592716, 20181108
              <text:span text:style-name="T3"/>
            </text:p>
            <text:p text:style-name="P7"/>
          </table:table-cell>
          <table:table-cell table:style-name="Table4.A2" office:value-type="string">
            <text:p text:style-name="P8">08-11-2018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St-Letstelschade-en-gerechtigheid-Dwaling-WMO-regres-convenant-zaaknr-592716-20181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43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