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37" w:history="1">
        <w:r>
          <w:rPr>
            <w:rFonts w:ascii="Arial" w:hAnsi="Arial" w:eastAsia="Arial" w:cs="Arial"/>
            <w:color w:val="155CAA"/>
            <w:u w:val="single"/>
          </w:rPr>
          <w:t xml:space="preserve">1 Brf Rekenkamer, Start onderzoek jeugdbeleid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37"/>
      <w:r w:rsidRPr="00A448AC">
        <w:rPr>
          <w:rFonts w:ascii="Arial" w:hAnsi="Arial" w:cs="Arial"/>
          <w:b/>
          <w:bCs/>
          <w:color w:val="303F4C"/>
          <w:lang w:val="en-US"/>
        </w:rPr>
        <w:t>Brf Rekenkamer, Start onderzoek jeugdbeleid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Rekenkamer, Start onderzoek jeugdbeleid, 20250909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Rekenkamer-Start-onderzoek-jeugdbeleid-20250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