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22" w:history="1">
        <w:r>
          <w:rPr>
            <w:rFonts w:ascii="Arial" w:hAnsi="Arial" w:eastAsia="Arial" w:cs="Arial"/>
            <w:color w:val="155CAA"/>
            <w:u w:val="single"/>
          </w:rPr>
          <w:t xml:space="preserve">1 Brf Rekenkamer, Stand van zaken rekenkamer onderzoeken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22"/>
      <w:r w:rsidRPr="00A448AC">
        <w:rPr>
          <w:rFonts w:ascii="Arial" w:hAnsi="Arial" w:cs="Arial"/>
          <w:b/>
          <w:bCs/>
          <w:color w:val="303F4C"/>
          <w:lang w:val="en-US"/>
        </w:rPr>
        <w:t>Brf Rekenkamer, Stand van zaken rekenkamer onderzoeken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Rekenkamer, Stand van zaken rekenkamer onderzoeken, 20240325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ekenkamer-Stand-van-zaken-rekenkamer-onderzoeken-202403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