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90" w:history="1">
        <w:r>
          <w:rPr>
            <w:rFonts w:ascii="Arial" w:hAnsi="Arial" w:eastAsia="Arial" w:cs="Arial"/>
            <w:color w:val="155CAA"/>
            <w:u w:val="single"/>
          </w:rPr>
          <w:t xml:space="preserve">1 Brf RKC Dalfsen, Onderzoeksprogramma 2022-2026, zaaknr 675069, 20221117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90"/>
      <w:r w:rsidRPr="00A448AC">
        <w:rPr>
          <w:rFonts w:ascii="Arial" w:hAnsi="Arial" w:cs="Arial"/>
          <w:b/>
          <w:bCs/>
          <w:color w:val="303F4C"/>
          <w:lang w:val="en-US"/>
        </w:rPr>
        <w:t>Brf RKC Dalfsen, Onderzoeksprogramma 2022-2026, zaaknr 675069, 20221117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 14:32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RKC Dalfsen, Onderzoeksprogramma 2022-2026, zaaknr 675069, 20221117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RKC-Dalfsen-Onderzoeksprogramma-2022-2026-zaaknr-675069-202211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