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30" w:history="1">
        <w:r>
          <w:rPr>
            <w:rFonts w:ascii="Arial" w:hAnsi="Arial" w:eastAsia="Arial" w:cs="Arial"/>
            <w:color w:val="155CAA"/>
            <w:u w:val="single"/>
          </w:rPr>
          <w:t xml:space="preserve">1 Brf Q-support-C-support, Handreiking postinfectieuze aandoeningen voor gemeenten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30"/>
      <w:r w:rsidRPr="00A448AC">
        <w:rPr>
          <w:rFonts w:ascii="Arial" w:hAnsi="Arial" w:cs="Arial"/>
          <w:b/>
          <w:bCs/>
          <w:color w:val="303F4C"/>
          <w:lang w:val="en-US"/>
        </w:rPr>
        <w:t>Brf Q-support-C-support, Handreiking postinfectieuze aandoeningen voor gemeenten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Q-support-C-support, Handreiking postinfectieuze aandoeningen voor gemeenten, 20250904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Q-support-C-support-Handreiking-postinfectieuze-aandoeningen-voor-gemeenten-202509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