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4" w:history="1">
        <w:r>
          <w:rPr>
            <w:rFonts w:ascii="Arial" w:hAnsi="Arial" w:eastAsia="Arial" w:cs="Arial"/>
            <w:color w:val="155CAA"/>
            <w:u w:val="single"/>
          </w:rPr>
          <w:t xml:space="preserve">1 Brf Public affairs - Regio Zwolle, jaarverslag 2021, zaaknr 652722, 20220215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4"/>
      <w:r w:rsidRPr="00A448AC">
        <w:rPr>
          <w:rFonts w:ascii="Arial" w:hAnsi="Arial" w:cs="Arial"/>
          <w:b/>
          <w:bCs/>
          <w:color w:val="303F4C"/>
          <w:lang w:val="en-US"/>
        </w:rPr>
        <w:t>Brf Public affairs - Regio Zwolle, jaarverslag 2021, zaaknr 652722, 20220215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Public affairs - Regio Zwolle, jaarverslag 2021, zaaknr 652722, 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ublic-affairs-Regio-Zwolle-jaarverslag-2021-zaaknr-652722-202202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